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A1" w:rsidRDefault="00BA02A1" w:rsidP="00BA02A1">
      <w:pPr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  <w:lang w:eastAsia="ru-RU"/>
        </w:rPr>
        <w:t>Приложение к письму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 Положением 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город Тула,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объектов, имеющих признаки бесхозяйного и приеме заявлений собственников объектов в течение одного месяца со дня данной публикации:</w:t>
      </w: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47"/>
        <w:gridCol w:w="2466"/>
        <w:gridCol w:w="2082"/>
        <w:gridCol w:w="1956"/>
      </w:tblGrid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Год ввода в эксплуатацию</w:t>
            </w:r>
          </w:p>
        </w:tc>
      </w:tr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D3" w:rsidRDefault="007D4BD3" w:rsidP="007D4BD3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851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 w:rsidRPr="00B24F73">
              <w:rPr>
                <w:rFonts w:ascii="PT Astra Serif" w:hAnsi="PT Astra Serif" w:cs="Arial"/>
                <w:b w:val="0"/>
                <w:sz w:val="28"/>
                <w:szCs w:val="28"/>
              </w:rPr>
              <w:t>трасса подземного уличного газопровода с/д протяженностью 2,46805 км,</w:t>
            </w:r>
          </w:p>
          <w:p w:rsidR="007D4BD3" w:rsidRDefault="007D4BD3" w:rsidP="007D4BD3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851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 w:rsidRPr="00B24F73">
              <w:rPr>
                <w:rFonts w:ascii="PT Astra Serif" w:hAnsi="PT Astra Serif" w:cs="Arial"/>
                <w:b w:val="0"/>
                <w:sz w:val="28"/>
                <w:szCs w:val="28"/>
              </w:rPr>
              <w:t>надземного газопровода с/д протяженностью 0,00182 км,</w:t>
            </w:r>
          </w:p>
          <w:p w:rsidR="007D4BD3" w:rsidRDefault="007D4BD3" w:rsidP="007D4BD3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851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 w:rsidRPr="00B24F73">
              <w:rPr>
                <w:rFonts w:ascii="PT Astra Serif" w:hAnsi="PT Astra Serif" w:cs="Arial"/>
                <w:b w:val="0"/>
                <w:sz w:val="28"/>
                <w:szCs w:val="28"/>
              </w:rPr>
              <w:t>задвижка на фасадном наружном газопроводе диаметром до 51-100 мм</w:t>
            </w:r>
            <w:r>
              <w:rPr>
                <w:rFonts w:ascii="PT Astra Serif" w:hAnsi="PT Astra Serif" w:cs="Arial"/>
                <w:b w:val="0"/>
                <w:sz w:val="28"/>
                <w:szCs w:val="28"/>
              </w:rPr>
              <w:t>,</w:t>
            </w:r>
          </w:p>
          <w:p w:rsidR="007D4BD3" w:rsidRDefault="007D4BD3" w:rsidP="007D4BD3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851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 w:rsidRPr="00B24F73">
              <w:rPr>
                <w:rFonts w:ascii="PT Astra Serif" w:hAnsi="PT Astra Serif" w:cs="Arial"/>
                <w:b w:val="0"/>
                <w:sz w:val="28"/>
                <w:szCs w:val="28"/>
              </w:rPr>
              <w:t>ШРП №476 (шкафные регуляторные пункты)</w:t>
            </w:r>
          </w:p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D62333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Тульская область, Ленинский район, с. Ионино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</w:tbl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ул. 40 лет Октября, д. 1, каб. 208, с понедельника по четверг: с 9-00 до 18-00, пятница: с 9-00 до 17-00. Перерыв на обед с 12-30 до 13-18.</w:t>
      </w:r>
    </w:p>
    <w:p w:rsidR="00B84E73" w:rsidRDefault="00B84E73"/>
    <w:sectPr w:rsidR="00B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1A1E03"/>
    <w:rsid w:val="002107E3"/>
    <w:rsid w:val="007D4BD3"/>
    <w:rsid w:val="009C6F30"/>
    <w:rsid w:val="00B84E73"/>
    <w:rsid w:val="00BA02A1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8330-928C-4573-A302-F167638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7D4BD3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Екатерина Александровна</dc:creator>
  <cp:keywords/>
  <dc:description/>
  <cp:lastModifiedBy>1</cp:lastModifiedBy>
  <cp:revision>2</cp:revision>
  <dcterms:created xsi:type="dcterms:W3CDTF">2025-05-28T12:34:00Z</dcterms:created>
  <dcterms:modified xsi:type="dcterms:W3CDTF">2025-05-28T12:34:00Z</dcterms:modified>
</cp:coreProperties>
</file>